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="Calibri" w:hAnsiTheme="majorBidi" w:cs="Arial"/>
          <w:b w:val="0"/>
          <w:bCs w:val="0"/>
          <w:color w:val="auto"/>
          <w:sz w:val="24"/>
          <w:szCs w:val="24"/>
        </w:rPr>
        <w:id w:val="1832842"/>
        <w:docPartObj>
          <w:docPartGallery w:val="Table of Contents"/>
          <w:docPartUnique/>
        </w:docPartObj>
      </w:sdtPr>
      <w:sdtEndPr>
        <w:rPr>
          <w:rFonts w:eastAsiaTheme="minorEastAsia" w:cstheme="minorBidi"/>
          <w:rtl/>
          <w:lang w:val="en-US"/>
        </w:rPr>
      </w:sdtEndPr>
      <w:sdtContent>
        <w:p w:rsidR="0031271A" w:rsidRDefault="0031271A" w:rsidP="0031271A">
          <w:pPr>
            <w:pStyle w:val="En-ttedetabledesmatires"/>
            <w:jc w:val="center"/>
            <w:rPr>
              <w:rFonts w:asciiTheme="majorBidi" w:hAnsiTheme="majorBidi"/>
              <w:color w:val="auto"/>
            </w:rPr>
          </w:pPr>
          <w:r w:rsidRPr="002130A8">
            <w:rPr>
              <w:rFonts w:asciiTheme="majorBidi" w:hAnsiTheme="majorBidi"/>
              <w:color w:val="auto"/>
            </w:rPr>
            <w:t>Sommaire</w:t>
          </w:r>
        </w:p>
        <w:p w:rsidR="0031271A" w:rsidRPr="002130A8" w:rsidRDefault="0031271A" w:rsidP="0031271A">
          <w:pPr>
            <w:rPr>
              <w:rFonts w:hint="cs"/>
              <w:lang w:bidi="ar-DZ"/>
            </w:rPr>
          </w:pPr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r w:rsidRPr="002130A8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2130A8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2130A8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39085784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Introduction générale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_Toc390857846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</w:pPr>
          <w:r w:rsidRPr="002130A8"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  <w:t>Chapitre 1: Présentation de l'unité ALFET.</w:t>
          </w:r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4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1. Introduction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_Toc390857847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4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2. Fonctions du groupe FONDAL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_Toc390857848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4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3.  Organisation structurelle de la société FONDAL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_Toc390857849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5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4.  Les différents postes de travail de la filiale ALFET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5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4.1.  Atelier de fusion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5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4.2.  Atelier de moulage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5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4.3.  Atelier de la sablerie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5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4.4.  Atelier de parachèvement des produits moulés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5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 Clients et marchés d’ALFET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5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6. Organigramme de la filiale ALFET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</w:pPr>
          <w:r w:rsidRPr="002130A8"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  <w:t xml:space="preserve">Chapitre 2: Maitrise statistique des processus. </w:t>
          </w:r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5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2130A8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fr-FR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Introduction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5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 Généralités sur la Maîtrise Statistique des Procédés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5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2.1. Définition d'un processus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_Toc390857859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2.2. Causes des défauts du produit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2.3. Variabilité du procédé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left" w:pos="1320"/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2.3.1.</w:t>
            </w:r>
            <w:r w:rsidRPr="002130A8"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Causes Communes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left" w:pos="1320"/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2.3.2.</w:t>
            </w:r>
            <w:r w:rsidRPr="002130A8"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Causes aléatoires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left" w:pos="1320"/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2.3.3.</w:t>
            </w:r>
            <w:r w:rsidRPr="002130A8"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Causes spéciales ou assignables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2.3.4 Conformité des produits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2.4. L'Auto- contrôle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2.5. Intérêt de l'outil statistique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2.5.1. Critère économique: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6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2.5.2. Critère technique: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_Toc390857869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7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 Entre lamaîtrise statistique du procédé (MSP) et la surveillance des procédés en continu (SPC)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3.1. Définitions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3.2. Domaines d’application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3.3. Efficacité de la MSP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3.4. Caractéristiques de la MSP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7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4. Démarche et mise en œuvre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7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 Les principaux outils de la MSP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5.1. La « loi normale » ou distribution gaussienne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5.1.1. La loi normale réduite: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7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5.1.2. Conditions d'obtention d'une distribution normale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_Toc390857879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5.1.3. Comparaison de l'intervalle de tolérance à la dispersion du processus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 La carte de contrôle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5.2.1. Définition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5.2.2. Procédure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5.2.3. Composition de carte de contrôle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5.2.4. Exemple d’une carte de contrôle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28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5.2.5. L’organisation et le suivi du processus de production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5.2.6. Calcul des limites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5.3. Les CAPABILITES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8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5.3.1. CAPABILITES machine : Cm et Cmk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_Toc390857889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5.3.2. CAPABILITE procédé : Cp et Cpk: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5.3.3 Graphe de décision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5.4.1.Méthode préconisée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5.4.2 Appréciation graphique de l’histogramme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</w:pPr>
          <w:r w:rsidRPr="002130A8">
            <w:rPr>
              <w:rStyle w:val="Lienhypertexte"/>
              <w:rFonts w:asciiTheme="majorBidi" w:hAnsiTheme="majorBidi" w:cstheme="majorBidi"/>
              <w:noProof/>
              <w:sz w:val="24"/>
              <w:szCs w:val="24"/>
            </w:rPr>
            <w:t>Chapitre 3: Aplication de la MSP sur une chaine de production.</w:t>
          </w:r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9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2130A8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fr-FR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Introduction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9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2130A8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fr-FR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Le boulet de broyage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left" w:pos="440"/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89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2130A8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fr-FR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Application de la MSP sur le boulet de broyage: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left" w:pos="880"/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7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3.1.</w:t>
            </w:r>
            <w:r w:rsidRPr="002130A8"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Opération de prélèvement: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_Toc390857897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8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3.2. Prise de mesure 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_Toc390857898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899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3.3. Analyse de la variabilité  par L’histogramme des fréquences.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_Toc390857899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900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 xml:space="preserve">3.4 Le test du X² (chi </w:t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2</w:t>
            </w:r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 xml:space="preserve"> qui se prononce « ki deux »).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_Toc390857900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901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3.4.1. Principe du test X²: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_Toc390857901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3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902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3.4.2.Mise en œuvre du test X²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_Toc390857902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903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3.5.Interprétation dans la carte de contrôle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_Toc390857903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2"/>
            <w:tabs>
              <w:tab w:val="right" w:leader="dot" w:pos="9628"/>
            </w:tabs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390857904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3.6.L’indice de CAPABILITE Cp :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_Toc390857904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49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905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Conclusion générale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_Toc390857905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51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Pr="002130A8" w:rsidRDefault="0031271A" w:rsidP="0031271A">
          <w:pPr>
            <w:pStyle w:val="TM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fr-FR"/>
            </w:rPr>
          </w:pPr>
          <w:hyperlink w:anchor="_Toc390857906" w:history="1">
            <w:r w:rsidRPr="002130A8">
              <w:rPr>
                <w:rStyle w:val="Lienhypertexte"/>
                <w:rFonts w:asciiTheme="majorBidi" w:hAnsiTheme="majorBidi" w:cstheme="majorBidi"/>
                <w:noProof/>
                <w:sz w:val="24"/>
                <w:szCs w:val="24"/>
              </w:rPr>
              <w:t>Annexes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_Toc390857906 \h </w:instrTex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Pr="002130A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271A" w:rsidRDefault="0031271A" w:rsidP="0031271A">
          <w:r w:rsidRPr="002130A8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</w:pPr>
    </w:p>
    <w:p w:rsidR="0031271A" w:rsidRDefault="0031271A" w:rsidP="0031271A">
      <w:pPr>
        <w:spacing w:line="360" w:lineRule="auto"/>
        <w:rPr>
          <w:rFonts w:hint="cs"/>
          <w:lang w:bidi="ar-DZ"/>
        </w:rPr>
      </w:pPr>
    </w:p>
    <w:p w:rsidR="00A34929" w:rsidRPr="0031271A" w:rsidRDefault="00A34929" w:rsidP="0031271A">
      <w:pPr>
        <w:bidi w:val="0"/>
        <w:rPr>
          <w:rFonts w:hint="cs"/>
          <w:lang w:val="fr-FR" w:bidi="ar-DZ"/>
        </w:rPr>
      </w:pPr>
    </w:p>
    <w:sectPr w:rsidR="00A34929" w:rsidRPr="0031271A" w:rsidSect="000D4C55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3" w:rsidRDefault="00A34929" w:rsidP="000D4C5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F92963" w:rsidRDefault="00A34929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3" w:rsidRPr="00F92963" w:rsidRDefault="00A34929" w:rsidP="000D4C55">
    <w:pPr>
      <w:pStyle w:val="En-tt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</w:p>
  <w:p w:rsidR="00F92963" w:rsidRPr="00F92963" w:rsidRDefault="00A34929">
    <w:pPr>
      <w:pStyle w:val="En-tte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1271A"/>
    <w:rsid w:val="0031271A"/>
    <w:rsid w:val="00A3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31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71A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1271A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271A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1271A"/>
    <w:rPr>
      <w:rFonts w:ascii="Calibri" w:eastAsia="Calibri" w:hAnsi="Calibri" w:cs="Arial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1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71A"/>
    <w:pPr>
      <w:bidi w:val="0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31271A"/>
    <w:pPr>
      <w:bidi w:val="0"/>
      <w:spacing w:after="100"/>
    </w:pPr>
    <w:rPr>
      <w:rFonts w:ascii="Calibri" w:eastAsia="Calibri" w:hAnsi="Calibri" w:cs="Arial"/>
      <w:lang w:val="fr-FR"/>
    </w:rPr>
  </w:style>
  <w:style w:type="character" w:styleId="Lienhypertexte">
    <w:name w:val="Hyperlink"/>
    <w:basedOn w:val="Policepardfaut"/>
    <w:uiPriority w:val="99"/>
    <w:unhideWhenUsed/>
    <w:rsid w:val="0031271A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1271A"/>
    <w:pPr>
      <w:bidi w:val="0"/>
      <w:spacing w:after="100"/>
      <w:ind w:left="220"/>
    </w:pPr>
    <w:rPr>
      <w:rFonts w:ascii="Calibri" w:eastAsia="Calibri" w:hAnsi="Calibri" w:cs="Arial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31271A"/>
    <w:pPr>
      <w:bidi w:val="0"/>
      <w:spacing w:after="100"/>
      <w:ind w:left="440"/>
    </w:pPr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</dc:creator>
  <cp:keywords/>
  <dc:description/>
  <cp:lastModifiedBy>mouh</cp:lastModifiedBy>
  <cp:revision>2</cp:revision>
  <dcterms:created xsi:type="dcterms:W3CDTF">2014-06-28T20:45:00Z</dcterms:created>
  <dcterms:modified xsi:type="dcterms:W3CDTF">2014-06-28T20:46:00Z</dcterms:modified>
</cp:coreProperties>
</file>